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楷体" w:cs="Times New Roman"/>
          <w:b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Times New Roman" w:hAnsi="Times New Roman" w:eastAsia="楷体" w:cs="Times New Roman"/>
          <w:b/>
          <w:color w:val="auto"/>
          <w:sz w:val="48"/>
          <w:szCs w:val="48"/>
          <w:highlight w:val="none"/>
          <w:lang w:val="en-US" w:eastAsia="zh-CN"/>
        </w:rPr>
        <w:t>清风和庐小区换热站建设项目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楷体" w:cs="Times New Roman"/>
          <w:b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Times New Roman" w:hAnsi="Times New Roman" w:eastAsia="楷体" w:cs="Times New Roman"/>
          <w:b/>
          <w:color w:val="auto"/>
          <w:sz w:val="36"/>
          <w:szCs w:val="36"/>
          <w:highlight w:val="none"/>
          <w:lang w:eastAsia="zh-CN"/>
        </w:rPr>
        <w:t>（</w:t>
      </w:r>
      <w:r>
        <w:rPr>
          <w:rFonts w:hint="eastAsia" w:ascii="Times New Roman" w:hAnsi="Times New Roman" w:eastAsia="楷体" w:cs="Times New Roman"/>
          <w:b/>
          <w:color w:val="auto"/>
          <w:sz w:val="36"/>
          <w:szCs w:val="36"/>
          <w:highlight w:val="none"/>
          <w:lang w:val="en-US" w:eastAsia="zh-CN"/>
        </w:rPr>
        <w:t>工 程</w:t>
      </w:r>
      <w:r>
        <w:rPr>
          <w:rFonts w:hint="eastAsia" w:ascii="Times New Roman" w:hAnsi="Times New Roman" w:eastAsia="楷体" w:cs="Times New Roman"/>
          <w:b/>
          <w:color w:val="auto"/>
          <w:sz w:val="36"/>
          <w:szCs w:val="36"/>
          <w:highlight w:val="none"/>
          <w:lang w:eastAsia="zh-CN"/>
        </w:rPr>
        <w:t>）</w:t>
      </w:r>
    </w:p>
    <w:p>
      <w:pPr>
        <w:numPr>
          <w:ilvl w:val="0"/>
          <w:numId w:val="0"/>
        </w:numPr>
        <w:tabs>
          <w:tab w:val="right" w:leader="dot" w:pos="8640"/>
        </w:tabs>
        <w:spacing w:line="360" w:lineRule="auto"/>
        <w:jc w:val="center"/>
        <w:outlineLvl w:val="0"/>
        <w:rPr>
          <w:rFonts w:hint="default" w:ascii="Times New Roman" w:hAnsi="Times New Roman" w:cs="Times New Roman"/>
          <w:b/>
          <w:color w:val="auto"/>
          <w:sz w:val="36"/>
          <w:highlight w:val="none"/>
        </w:rPr>
      </w:pPr>
      <w:bookmarkStart w:id="0" w:name="_Toc382578325"/>
      <w:bookmarkStart w:id="1" w:name="OLE_LINK10"/>
      <w:bookmarkStart w:id="2" w:name="_Toc12430"/>
      <w:bookmarkStart w:id="3" w:name="OLE_LINK7"/>
      <w:r>
        <w:rPr>
          <w:rFonts w:hint="default" w:ascii="Times New Roman" w:hAnsi="Times New Roman" w:cs="Times New Roman"/>
          <w:b/>
          <w:color w:val="auto"/>
          <w:sz w:val="36"/>
          <w:highlight w:val="none"/>
        </w:rPr>
        <w:t>招标公告</w:t>
      </w:r>
      <w:bookmarkEnd w:id="0"/>
      <w:bookmarkEnd w:id="1"/>
      <w:bookmarkEnd w:id="2"/>
      <w:bookmarkEnd w:id="3"/>
      <w:bookmarkStart w:id="4" w:name="_Toc2421"/>
      <w:bookmarkStart w:id="5" w:name="_Toc500001215"/>
      <w:bookmarkStart w:id="6" w:name="_Toc500001272"/>
      <w:bookmarkStart w:id="7" w:name="_Toc499564658"/>
    </w:p>
    <w:bookmarkEnd w:id="4"/>
    <w:p>
      <w:pPr>
        <w:tabs>
          <w:tab w:val="right" w:leader="dot" w:pos="8640"/>
        </w:tabs>
        <w:spacing w:line="360" w:lineRule="auto"/>
        <w:ind w:firstLine="482" w:firstLineChars="200"/>
        <w:jc w:val="left"/>
        <w:outlineLvl w:val="0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bookmarkStart w:id="8" w:name="_Toc41561789"/>
      <w:bookmarkStart w:id="9" w:name="_Toc23826"/>
      <w:bookmarkStart w:id="10" w:name="_Toc8417"/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一、</w:t>
      </w:r>
      <w:bookmarkEnd w:id="8"/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招标条件</w:t>
      </w:r>
      <w:bookmarkEnd w:id="9"/>
      <w:bookmarkEnd w:id="10"/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bookmarkStart w:id="11" w:name="_Toc1265"/>
      <w:bookmarkStart w:id="12" w:name="_Toc24597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本项目清风和庐小区换热站建设项目已批准，前期准备工作已完成，项目资金来源为自筹资金，招标人为聊城市财金清洁能源热力有限公司。</w:t>
      </w:r>
      <w:bookmarkEnd w:id="11"/>
      <w:bookmarkEnd w:id="12"/>
    </w:p>
    <w:p>
      <w:pPr>
        <w:tabs>
          <w:tab w:val="right" w:leader="dot" w:pos="8640"/>
        </w:tabs>
        <w:spacing w:line="360" w:lineRule="auto"/>
        <w:ind w:firstLine="482" w:firstLineChars="200"/>
        <w:jc w:val="left"/>
        <w:outlineLvl w:val="0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bookmarkStart w:id="13" w:name="_Toc41561790"/>
      <w:bookmarkStart w:id="14" w:name="_Toc3709"/>
      <w:bookmarkStart w:id="15" w:name="_Toc10657"/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二、</w:t>
      </w:r>
      <w:bookmarkEnd w:id="13"/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项目概况与招标范围</w:t>
      </w:r>
      <w:bookmarkEnd w:id="14"/>
      <w:bookmarkEnd w:id="15"/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bookmarkStart w:id="16" w:name="_Toc41561791"/>
      <w:bookmarkStart w:id="17" w:name="_Toc6490"/>
      <w:bookmarkStart w:id="18" w:name="_Toc18923"/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1.项目名称：</w:t>
      </w:r>
      <w:bookmarkEnd w:id="16"/>
      <w:bookmarkEnd w:id="17"/>
      <w:bookmarkEnd w:id="18"/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清风和庐小区换热站建设项目</w:t>
      </w:r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bookmarkStart w:id="19" w:name="_Toc22723"/>
      <w:bookmarkStart w:id="20" w:name="_Toc25501"/>
      <w:bookmarkStart w:id="21" w:name="_Toc41561792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2.项目编号：</w:t>
      </w:r>
      <w:bookmarkEnd w:id="19"/>
      <w:bookmarkEnd w:id="20"/>
      <w:bookmarkEnd w:id="21"/>
      <w:bookmarkStart w:id="22" w:name="_Toc14075"/>
      <w:bookmarkStart w:id="23" w:name="_Toc4807"/>
      <w:bookmarkStart w:id="24" w:name="_Toc41561794"/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3.</w:t>
      </w:r>
      <w:bookmarkEnd w:id="22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招标内容：本次清风和庐小区换热站建设项目共分为四个标段</w:t>
      </w:r>
      <w:bookmarkStart w:id="25" w:name="_Toc11881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。</w:t>
      </w:r>
      <w:bookmarkEnd w:id="23"/>
      <w:bookmarkEnd w:id="25"/>
      <w:bookmarkStart w:id="26" w:name="_Toc12279"/>
      <w:bookmarkStart w:id="27" w:name="_Toc28836"/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项目预算：</w:t>
      </w:r>
      <w:bookmarkEnd w:id="26"/>
      <w:bookmarkEnd w:id="27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1010693.42元。</w:t>
      </w:r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bookmarkStart w:id="28" w:name="_Toc15290"/>
      <w:bookmarkStart w:id="29" w:name="_Toc14865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、资金来源：自筹资金。</w:t>
      </w:r>
      <w:bookmarkEnd w:id="28"/>
      <w:bookmarkEnd w:id="29"/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bookmarkStart w:id="30" w:name="_Toc11801"/>
      <w:bookmarkStart w:id="31" w:name="_Toc4533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、质量要求：</w:t>
      </w:r>
      <w:bookmarkEnd w:id="30"/>
      <w:bookmarkEnd w:id="31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合格，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质保期两个采暖季，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达到国家和有关部门相关验收标准和规范要求。</w:t>
      </w:r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Courier New" w:eastAsia="宋体" w:cs="Times New Roman"/>
          <w:color w:val="auto"/>
          <w:sz w:val="24"/>
          <w:szCs w:val="24"/>
          <w:highlight w:val="none"/>
          <w:lang w:val="zh-CN"/>
        </w:rPr>
      </w:pPr>
      <w:bookmarkStart w:id="32" w:name="_Toc22922"/>
      <w:bookmarkStart w:id="33" w:name="_Toc6178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、工    期：</w:t>
      </w:r>
      <w:bookmarkEnd w:id="32"/>
      <w:bookmarkEnd w:id="33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接甲方开工令之日七25</w:t>
      </w:r>
      <w:r>
        <w:rPr>
          <w:rFonts w:hint="eastAsia" w:ascii="宋体" w:hAnsi="Courier New" w:eastAsia="宋体" w:cs="Times New Roman"/>
          <w:color w:val="auto"/>
          <w:sz w:val="24"/>
          <w:szCs w:val="24"/>
          <w:highlight w:val="none"/>
          <w:lang w:val="zh-CN"/>
        </w:rPr>
        <w:t xml:space="preserve">日历天，乙方应自行做好季节性施工计划安排，合同工期已充分考虑可能出现的各种形式的检查、雨雪、冰雹、冬期施工、冬期养护、停水、停电、节假日、扰民、阻工纠纷协调、场地及道路施工影响、扬尘治理等所有不利因素。 </w:t>
      </w:r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Courier New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Courier New" w:eastAsia="宋体" w:cs="Times New Roman"/>
          <w:color w:val="auto"/>
          <w:sz w:val="24"/>
          <w:szCs w:val="24"/>
          <w:highlight w:val="none"/>
          <w:lang w:val="en-US" w:eastAsia="zh-CN"/>
        </w:rPr>
        <w:t>8、中标方式：采用最低价中标。</w:t>
      </w:r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Courier New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Courier New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9、验收标准及时限：满足《城镇供热管网工程施工及验收规范》及甲方制定的相关要求；完成工程量清单内100%后，中标单位向甲方提交验收申请单（加盖公章），经监理单位初步验收通过后，甲方于3个月（90天）内完成正式验收。</w:t>
      </w:r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default"/>
          <w:lang w:val="en-US" w:eastAsia="zh-CN"/>
        </w:rPr>
      </w:pPr>
      <w:r>
        <w:rPr>
          <w:rFonts w:hint="eastAsia" w:ascii="宋体" w:hAnsi="Courier New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10、结算方式：完成合同工程量清册报价明细表内工程量，并达到招标技术要求的质量标准，执行合同总价固定不调；凡因工程量清册报价明细表所列施工项目不全、不详细，企业中标后在施工过程中，因在投标阶段未进行图纸与现场勘查相结合，未及时提出漏、缺项的，非重大设计变更，不再进行工程增加签证，新增工程量视为已包含在投标报价中；合同工程量清册报价明细表内工程量未完成部分，结算时按照合同综合单价进行核减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color w:val="auto"/>
          <w:sz w:val="24"/>
          <w:highlight w:val="none"/>
          <w:lang w:val="en-US" w:eastAsia="zh-CN"/>
        </w:rPr>
      </w:pP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11、</w:t>
      </w:r>
      <w:r>
        <w:rPr>
          <w:color w:val="auto"/>
          <w:sz w:val="24"/>
          <w:szCs w:val="24"/>
          <w:highlight w:val="none"/>
        </w:rPr>
        <w:t>付款方式</w:t>
      </w:r>
      <w:r>
        <w:rPr>
          <w:rFonts w:hint="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eastAsia="宋体" w:cs="Times New Roman"/>
          <w:b w:val="0"/>
          <w:color w:val="auto"/>
          <w:sz w:val="24"/>
          <w:highlight w:val="none"/>
          <w:lang w:val="en-US" w:eastAsia="zh-CN"/>
        </w:rPr>
        <w:t>1、无预付款的支付。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color w:val="auto"/>
          <w:sz w:val="24"/>
          <w:highlight w:val="none"/>
          <w:lang w:val="en-US" w:eastAsia="zh-CN"/>
        </w:rPr>
        <w:t>2、工程完工经验收合格后付合同价款的65%，一个采暖季后，经第三方审计后付至审计价款的9</w:t>
      </w:r>
      <w:r>
        <w:rPr>
          <w:rFonts w:hint="eastAsia" w:ascii="Times New Roman" w:hAnsi="Times New Roman" w:eastAsia="宋体" w:cs="Times New Roman"/>
          <w:b w:val="0"/>
          <w:color w:val="auto"/>
          <w:sz w:val="24"/>
          <w:highlight w:val="none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b w:val="0"/>
          <w:color w:val="auto"/>
          <w:sz w:val="24"/>
          <w:highlight w:val="none"/>
          <w:lang w:val="en-US" w:eastAsia="zh-CN"/>
        </w:rPr>
        <w:t>%，余款作为质保金。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color w:val="auto"/>
          <w:sz w:val="24"/>
          <w:highlight w:val="none"/>
          <w:lang w:val="en-US" w:eastAsia="zh-CN"/>
        </w:rPr>
        <w:t>3、两个采暖季后无施工质量问题，甲方无息退还乙方剩余价款。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color w:val="auto"/>
          <w:sz w:val="24"/>
          <w:highlight w:val="none"/>
          <w:lang w:val="en-US" w:eastAsia="zh-CN"/>
        </w:rPr>
        <w:t>4、甲方第一次付款前，乙方提供该项目农民工工资发放证明文件（具体格式详见项目说明），证明文件真实有效，一经发现虚假信息，甲方有权不予支付工程款并缴纳中标金额10%的罚金；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12、</w:t>
      </w:r>
      <w:r>
        <w:rPr>
          <w:rFonts w:hint="eastAsia" w:ascii="宋体" w:hAnsi="宋体" w:cs="宋体"/>
          <w:color w:val="auto"/>
          <w:sz w:val="24"/>
          <w:highlight w:val="none"/>
        </w:rPr>
        <w:t>重要声明</w:t>
      </w:r>
      <w:r>
        <w:rPr>
          <w:rFonts w:hint="eastAsia" w:ascii="宋体" w:hAnsi="宋体" w:cs="宋体"/>
          <w:color w:val="auto"/>
          <w:sz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负责处理周边关系和人为干扰，施工期间政府执法检查，违规处罚，处理周边关系产生的费用、与其他单位的配合费、管理费等所需发生的费用已含在本次投标报价中，不再另行计取费用。如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未按上述要求履行合同义务导致招标人产生相关费用和工期延误，施工过程中招标人有权按实际情况在拨付工程款时予以扣除，工期不予顺延。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、施工期间物价变化、政策性调整文件、施工场地及环境、满足建设及环保等主管部门相关规定、社会保险费等一切本工程涉及到的费用及周边关系协调、赶工措施等风险均已包含在成交价款中。风险范围内费用由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自行考虑，已包含在成交价中，结算时不做任何调整。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负责采购的材料，应符合工程设计要求和国家规定的有关标准，且均为符合国家节能环保产品标准要求的材料。所购主要材料必须有生产厂家合格证、化验单、材质报告等有关证明文件，并对材料质量负责。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、施工单位自行勘察现场进行报价，由此产生的一切费用在投标报价中应自行考虑，建设单位不在另行组织查看。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、在工程投标期间投标单位应考虑漏项风险，如中标单位出现任何形式的漏项，投标时未提出任何疑问，后期因漏项产生的一切责任（经济损失）由中标单位自行承担，在施工过程期间提出建设单位不予认可。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、达到政府主管部门对扬尘治理要求的标准。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、扬尘治理措施：严格按照聊城市环保扬尘治理措施进行施工，例如：裸土材料覆盖、现场洒水、设置雾炮、拉设围挡、材料码垛等要达标合格。如因措施不到位出现的一切经济责任由施工单位自行承担，建设单位有权针对因扬尘治理措施不到位引起的停工，追溯拖延工期经济赔偿，每拖期一天，按合同额的万分之三罚款执行。由于扬尘治理措施不到位造成上级主管部门通报及处罚的，建设单位有权对通报及处罚进行追罚1万元-10万元/次的罚款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、施工过程中对已完工项目造成的破坏及污染，均由施工单位负责修复，并承担相关补偿费用，要接受监理、建设单位、政府主管等部门的监督验收。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9、全面贯彻《劳动法》、《社会保险法》、《保障农民工工资支付条例》，切实保障职工合法权益。投标人需承诺中标后不得拖欠农民工工资，按时缴纳农民工保险，如因拖欠工资或农工受伤得不到及时理赔，合法权益得不到保障，造成农民工上访到政府等有关部门，经招标人、监理、审计三方核实无误后，直接从剩余工程款中扣除发放相应的农民工工资或赔偿金，并乙方承担相应法律责任。</w:t>
      </w:r>
    </w:p>
    <w:bookmarkEnd w:id="24"/>
    <w:p>
      <w:pPr>
        <w:tabs>
          <w:tab w:val="right" w:leader="dot" w:pos="8640"/>
        </w:tabs>
        <w:spacing w:line="360" w:lineRule="auto"/>
        <w:ind w:firstLine="482" w:firstLineChars="200"/>
        <w:jc w:val="left"/>
        <w:outlineLvl w:val="0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bookmarkStart w:id="34" w:name="_Toc41561795"/>
      <w:bookmarkStart w:id="35" w:name="_Toc20287"/>
      <w:bookmarkStart w:id="36" w:name="_Toc5949"/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bookmarkEnd w:id="34"/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投标人资格要求</w:t>
      </w:r>
      <w:bookmarkEnd w:id="35"/>
      <w:bookmarkEnd w:id="36"/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bookmarkStart w:id="37" w:name="_Toc22767"/>
      <w:bookmarkStart w:id="38" w:name="_Toc11019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1、在中华人民共和国境内注册，有合法有效的营业执照；</w:t>
      </w:r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2、投标人应具备市政公用工程施工总承包三级（含）以上资质；</w:t>
      </w:r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3、本项目拟派项目经理具有二级（含）以上注册建造师证（市政工程专业）；具有安全生产考核合格证（B类）；且未担任任何在施建设工程；</w:t>
      </w:r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4、不接受联合体报价；</w:t>
      </w:r>
    </w:p>
    <w:p>
      <w:pPr>
        <w:tabs>
          <w:tab w:val="right" w:leader="dot" w:pos="8640"/>
        </w:tabs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5、</w:t>
      </w:r>
      <w:bookmarkEnd w:id="37"/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本项目兼投不兼中。</w:t>
      </w:r>
    </w:p>
    <w:bookmarkEnd w:id="5"/>
    <w:bookmarkEnd w:id="6"/>
    <w:bookmarkEnd w:id="7"/>
    <w:bookmarkEnd w:id="38"/>
    <w:p>
      <w:bookmarkStart w:id="39" w:name="_GoBack"/>
      <w:bookmarkEnd w:id="39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MzhlZmFlNmUzMDMyNzk5Y2FhOGFhNjlhNDU2M2YifQ=="/>
  </w:docVars>
  <w:rsids>
    <w:rsidRoot w:val="0BE876D0"/>
    <w:rsid w:val="0BE8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2023-10-19T06:52:00Z</dcterms:created>
  <dc:creator>而道</dc:creator>
  <cp:lastModifiedBy>而道</cp:lastModifiedBy>
  <dcterms:modified xsi:type="dcterms:W3CDTF">2023-10-19T06:53:08Z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33202EE48D0141A0A6ECB32322884BAA_11</vt:lpwstr>
  </property>
</Properties>
</file>